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76" w:rsidRDefault="00035976">
      <w:pPr>
        <w:spacing w:line="360" w:lineRule="auto"/>
        <w:contextualSpacing w:val="0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585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00"/>
        <w:gridCol w:w="2310"/>
        <w:gridCol w:w="2685"/>
        <w:gridCol w:w="3285"/>
        <w:gridCol w:w="3315"/>
      </w:tblGrid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b/>
                <w:sz w:val="24"/>
                <w:szCs w:val="24"/>
              </w:rPr>
              <w:t>Familles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b/>
                <w:sz w:val="24"/>
                <w:szCs w:val="24"/>
              </w:rPr>
              <w:t>Indications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38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b/>
                <w:sz w:val="24"/>
                <w:szCs w:val="24"/>
              </w:rPr>
              <w:t>Contre-Indications</w:t>
            </w:r>
            <w:r w:rsidR="00BB3A66" w:rsidRPr="003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Interactions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b/>
                <w:sz w:val="24"/>
                <w:szCs w:val="24"/>
              </w:rPr>
              <w:t>Effets Indésirables / Surveillances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b/>
                <w:sz w:val="24"/>
                <w:szCs w:val="24"/>
              </w:rPr>
              <w:t>Exemples</w:t>
            </w:r>
          </w:p>
          <w:p w:rsidR="00386FF2" w:rsidRDefault="0038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F2" w:rsidRPr="00386FF2" w:rsidRDefault="0038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76">
        <w:trPr>
          <w:trHeight w:val="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Bêta-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Lactamines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: Pénicillines (G, M, A, V)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Bactéricides</w:t>
            </w: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ORL, listériose, infections pulmonaire, urinaire, cutanée, syphilis, prévention du rhumatisme articulaire aigu</w:t>
            </w: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association avec le méthotrexate déconseillée, car risque d’une inhibition de son élimination rénale</w:t>
            </w: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Surveillance du risque allergique (urticaire, candidose, rash, </w:t>
            </w:r>
            <w:r w:rsidR="00386FF2" w:rsidRPr="00386FF2">
              <w:rPr>
                <w:rFonts w:ascii="Times New Roman" w:hAnsi="Times New Roman" w:cs="Times New Roman"/>
                <w:sz w:val="24"/>
                <w:szCs w:val="24"/>
              </w:rPr>
              <w:t>œdème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...) 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Troubles digestifs (nausées, vomissements, diarrhées)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Convulsions</w:t>
            </w: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(bilan hépatique, NFS (risque de neutropénie), créatinine)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Amoxicilline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Clamoxyl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Cloxa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cilline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Orbénine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Bristopen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(Oxacilline®),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Oracilline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Phénoxyméthylpénicilline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rPr>
          <w:trHeight w:val="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Bêta-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Lactamines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: Pénicillines avec un inhibiteur de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bétalactamase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Amoxicilline/Acide Clavulanique (Augmentin®), Ampicilline/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Sulbactam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Unacim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 </w:t>
            </w:r>
          </w:p>
          <w:p w:rsidR="00386FF2" w:rsidRPr="00386FF2" w:rsidRDefault="0038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76">
        <w:trPr>
          <w:trHeight w:val="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Bêta-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Lactamines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: Céphalosporines de 1ère, 2ème et 3ème génération.</w:t>
            </w: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Céfaclor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Alfatil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Céfalexine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Keforal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Cefpodoxime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Orelox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Céfixime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Oroken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Ceftriaxone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Rocéphine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Céfotiam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Texodil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Céfuroxime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Zinnat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  <w:p w:rsidR="00386FF2" w:rsidRPr="00386FF2" w:rsidRDefault="0038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76">
        <w:trPr>
          <w:trHeight w:val="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Bêta-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Lactamines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Carbapénèmes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Imipénème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Cilastatine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Tienam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Cyclines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Bactériostatiques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Infections génitales, acné, infections broncho pulmonaires, prévention du paludisme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enfant de moins de 8 ans, femme enceinte à partir du 2ème trimestre, association aux rétinoïdes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de la coagulation si association avec un traitement par anti-vitamine K</w:t>
            </w:r>
          </w:p>
          <w:p w:rsidR="00035976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Antagonisme avec les bêta-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lactamines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et les aminosides</w:t>
            </w:r>
          </w:p>
          <w:p w:rsidR="00386FF2" w:rsidRPr="00386FF2" w:rsidRDefault="0038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Troubles d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igestifs, candidose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: si posologie élevée, surveillance hépatique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Consommation de laitage à distance de la prise du traitement (inhibition de la résorption par le calcium)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Risque de photosensibilisation si exposition au soleil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Doxyc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ycline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Minocycline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Mynocine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Lymécycline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Tétralysal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Aminosides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Bactéricides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Infections génitale, respiratoire, cutanée, endocardites (non causée par une bactérie entérocoque)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myasthénie, multiplication de la classe des aminosides, grossesse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Interaction avec les AINS à forte dose, diurétique de l’anse, curare, ciclosporine</w:t>
            </w:r>
          </w:p>
          <w:p w:rsidR="00035976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Attention, pas d’absorption digestive, traitement principalement en injectable (IV, IM, SC)</w:t>
            </w:r>
          </w:p>
          <w:p w:rsidR="00386FF2" w:rsidRPr="00386FF2" w:rsidRDefault="0038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Ototoxicité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néphrotoxicité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: fonction rénale, pic de concentration et résiduel de la molécule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Troubles urinaires, auditifs, équilibres (éducation du patient à reconnaître les signes si traitement au long cours)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Tobramycine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Nebcine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Tobi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Tobrex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Amikacine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Amiklin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Gentamicine</w:t>
            </w: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Attention:  association à un autre ATB obligatoire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Macrolides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Bactériostatiques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ORL, coqueluche, diphtérie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insuffisance hépatique</w:t>
            </w: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ECG (allongement du segment QT)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de l’état cutané (rash, urticaire…)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Troubles digestifs </w:t>
            </w:r>
          </w:p>
          <w:p w:rsidR="00386FF2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Surveillance biologique : bilan hépatique, 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Azithromycine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Zithromax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Dapsone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Disulone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Erythromycine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Eryfluid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Josamycine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Josacine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Clarithromycine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Zecl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Spiramycine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Rovamycine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Roxithromycine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Rulid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Macrolides associé à un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imidazolé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Bactéricides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Infections bactéries anaérobies, infections dentaires, amibiase,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trichomonase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Ne pas associer avec du Disulfirame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FF2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Troubles digestifs, glossite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, sécheresse buccale, anorexie, céphalées, convulsions, vertiges, confusions, hallucinations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Métronidazole +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Spiramycine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Birodogyl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Imidazolé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Bactéricides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 dentaire, maladie infectieuse ou parasitaire de l’intestin et appareil génital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FF2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Troubles digestifs, urticaire, inflammation de la bouche, confusions, céphalées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Pancréatite réversible à l’arrêt du traitement.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Métronidazole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Flagyl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Quinolones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Bactéricides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Infections rénale, urinaire,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ostéoarticulaire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et broncho pulmonaire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déficit en G6PD, tendinite traitée par corticothérapie, grossesse et allaitement, enfant de moins de 15 ans, épilepsie, myasthénie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Association avec des corticoïdes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Troubles neuro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logiques, troubles digestifs, troubles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ostéoarticulaires</w:t>
            </w:r>
            <w:proofErr w:type="spellEnd"/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: NFS, bilan hépatique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Fluméquine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Apurone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®), Ciprofloxacine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Ciflox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Loméfloxacine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Logiflox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Moxifloxacine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Izilox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Oflaxacine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Oflocet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Lévofloxacine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Tavanic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  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Lincosamides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Bactéricides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Infections graves des bronches, ORL, peau, os et appareil génital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enfant de moins de 6 ans, allaitement.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Délai de 2 heures entre cette molécule et un antiacide contenant de l’aluminium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Oesophagite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, troubles digestifs, an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omalie de la NFS</w:t>
            </w: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: NFS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Clindamycine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Dalacine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Phénicolés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Bactériostatiques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Infections respiratoires, digestives et génitales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Insuffisance médullaire, insuffisance rénale, nouveau-né et nourrisson de moins de 6 mois, allaitement.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Insuffisance médullaire réversible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Thiamphénicol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Thiophénicol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rPr>
          <w:trHeight w:val="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Sulfamides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Bactériostatiques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 urinaire, pneumocystose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grossesse et allaitement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Insuffisance hépatique et rénale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Surveillance de la coagulation si association avec un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antivitamine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32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Fonction urinaire, troubles digestifs, état cutané (rash, urticaire…)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: NFS, bilan hépatique et bilirubine, créatinine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Sulfadiazine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Adiazine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rPr>
          <w:trHeight w:val="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Sulfamides associé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s au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triméthoprime</w:t>
            </w:r>
            <w:proofErr w:type="spellEnd"/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Sulfaméthoxazole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Triméthoprime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Bactrim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Synergistines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Bactériostatiques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Infections des sinus, broncho pulmonaire, cutanée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Allergie, association avec de la Colchicine, allaitement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Troubles digestifs, éruption cutanée,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Pristinamycine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Pyostacine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Fosfomycines</w:t>
            </w:r>
            <w:proofErr w:type="spellEnd"/>
          </w:p>
          <w:p w:rsidR="00035976" w:rsidRPr="00386FF2" w:rsidRDefault="0003597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Inhibition de la synthèse d’un précurseur du peptidoglycane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Infections urinaires (traitement en prise unique)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Troubles digestifs, inflammation vaginale, vertiges, éruption cutanée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Fosfomycine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Monuril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6" w:rsidRPr="00386FF2" w:rsidRDefault="0003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Nitrofurantoïne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Altération de l’ADN après réduction du groupement NO2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Infections urinaires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Insuffisance rénale, déficit en G6PD, allergie au gluten, enfant de moins de 6 ans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Espacer de 2h la prise de l’antibiotique avec un IPP, coloration brunâtre possible des urines durant le traitement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Vertiges, troubles digestifs, anomalie de la NFS, hépatite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: bilan hépatique, NFS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Nitrofurantoïne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Furadantine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 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Sulfamethizol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Inhibition de la synthèse des bases puriques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Infections urinaires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insuffisance hépatique, déficit en G6PD, allaitement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Interaction avec la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phénytoïne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ou la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méthénamine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Troubles digestifs, réactions cutanées, photosensibilisation, agranulocytose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: bilan hépatique, NFS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Sulfaméthizol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Rufol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  <w:tr w:rsidR="0003597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Antituberculeux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Bactériostatiques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Tuberculose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Allergie, grossesse (1er trimestre et dernier mois), insuffisance rénale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Réactions d’hypersensibilité, troubles digestifs, perturbation du cycle menstruel, névrite ophtalmique, neuropathie périphérique, troubles psychiatrique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Surveillance biologique : bilan hépatique, NFS (J8, J30 et 1 fois par mois), fonction rénale</w:t>
            </w:r>
          </w:p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Prise du traitement à jeun, coloration orangée des urines et larmes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976" w:rsidRPr="00386FF2" w:rsidRDefault="00BB3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Rifabutine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Ansatipine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®), 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Ethambutol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Dexambutol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®), Rifampicine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Rifadine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®), Isoniazide (</w:t>
            </w:r>
            <w:proofErr w:type="spellStart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Rimif</w:t>
            </w:r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386FF2">
              <w:rPr>
                <w:rFonts w:ascii="Times New Roman" w:hAnsi="Times New Roman" w:cs="Times New Roman"/>
                <w:sz w:val="24"/>
                <w:szCs w:val="24"/>
              </w:rPr>
              <w:t>®)</w:t>
            </w:r>
          </w:p>
        </w:tc>
      </w:tr>
    </w:tbl>
    <w:p w:rsidR="00035976" w:rsidRDefault="00035976">
      <w:pPr>
        <w:spacing w:line="360" w:lineRule="auto"/>
        <w:contextualSpacing w:val="0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035976" w:rsidRPr="00277210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2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SOURCES :</w:t>
      </w:r>
    </w:p>
    <w:p w:rsidR="00035976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10">
        <w:rPr>
          <w:rFonts w:ascii="Times New Roman" w:hAnsi="Times New Roman" w:cs="Times New Roman"/>
          <w:sz w:val="24"/>
          <w:szCs w:val="24"/>
        </w:rPr>
        <w:t xml:space="preserve">CCLIN, ARLIN, “Infection nosocomiale : Définition, fréquence et risque [En ligne], le 28 septembre 2018. </w:t>
      </w:r>
      <w:hyperlink r:id="rId6">
        <w:r w:rsidRPr="00277210">
          <w:rPr>
            <w:rFonts w:ascii="Times New Roman" w:hAnsi="Times New Roman" w:cs="Times New Roman"/>
            <w:sz w:val="24"/>
            <w:szCs w:val="24"/>
          </w:rPr>
          <w:t>http://www.cclin-arlin.fr/nosopdf/doc04/0013685.pdf</w:t>
        </w:r>
      </w:hyperlink>
    </w:p>
    <w:p w:rsidR="00277210" w:rsidRPr="00277210" w:rsidRDefault="00277210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76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10">
        <w:rPr>
          <w:rFonts w:ascii="Times New Roman" w:hAnsi="Times New Roman" w:cs="Times New Roman"/>
          <w:sz w:val="24"/>
          <w:szCs w:val="24"/>
        </w:rPr>
        <w:t xml:space="preserve">Vidal Euréka Santé, “Les antibiotiques” [En ligne], le 28 septembre 2018. </w:t>
      </w:r>
      <w:hyperlink r:id="rId7">
        <w:r w:rsidRPr="00277210">
          <w:rPr>
            <w:rFonts w:ascii="Times New Roman" w:hAnsi="Times New Roman" w:cs="Times New Roman"/>
            <w:sz w:val="24"/>
            <w:szCs w:val="24"/>
          </w:rPr>
          <w:t>https://eurekasante.vidal.fr/medicaments/antibiotiques.html</w:t>
        </w:r>
      </w:hyperlink>
    </w:p>
    <w:p w:rsidR="00277210" w:rsidRPr="00277210" w:rsidRDefault="00277210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76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10">
        <w:rPr>
          <w:rFonts w:ascii="Times New Roman" w:hAnsi="Times New Roman" w:cs="Times New Roman"/>
          <w:sz w:val="24"/>
          <w:szCs w:val="24"/>
        </w:rPr>
        <w:t>Réseau National de Prévention des Infection</w:t>
      </w:r>
      <w:r w:rsidRPr="00277210">
        <w:rPr>
          <w:rFonts w:ascii="Times New Roman" w:hAnsi="Times New Roman" w:cs="Times New Roman"/>
          <w:sz w:val="24"/>
          <w:szCs w:val="24"/>
        </w:rPr>
        <w:t xml:space="preserve">s Associées aux Soins [En ligne], le 28 septembre 2018. </w:t>
      </w:r>
      <w:hyperlink r:id="rId8">
        <w:r w:rsidRPr="00277210">
          <w:rPr>
            <w:rFonts w:ascii="Times New Roman" w:hAnsi="Times New Roman" w:cs="Times New Roman"/>
            <w:sz w:val="24"/>
            <w:szCs w:val="24"/>
          </w:rPr>
          <w:t>http://www.cpias.fr/</w:t>
        </w:r>
      </w:hyperlink>
    </w:p>
    <w:p w:rsidR="00277210" w:rsidRPr="00277210" w:rsidRDefault="00277210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76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10">
        <w:rPr>
          <w:rFonts w:ascii="Times New Roman" w:hAnsi="Times New Roman" w:cs="Times New Roman"/>
          <w:sz w:val="24"/>
          <w:szCs w:val="24"/>
        </w:rPr>
        <w:t>Université Paris Descartes, Campus de Microbiologie médicale “Relations Hôte-</w:t>
      </w:r>
      <w:proofErr w:type="spellStart"/>
      <w:r w:rsidRPr="00277210">
        <w:rPr>
          <w:rFonts w:ascii="Times New Roman" w:hAnsi="Times New Roman" w:cs="Times New Roman"/>
          <w:sz w:val="24"/>
          <w:szCs w:val="24"/>
        </w:rPr>
        <w:t>Pathgène</w:t>
      </w:r>
      <w:proofErr w:type="spellEnd"/>
      <w:r w:rsidRPr="00277210">
        <w:rPr>
          <w:rFonts w:ascii="Times New Roman" w:hAnsi="Times New Roman" w:cs="Times New Roman"/>
          <w:sz w:val="24"/>
          <w:szCs w:val="24"/>
        </w:rPr>
        <w:t xml:space="preserve">” [En Ligne], le 08 novembre 2018. </w:t>
      </w:r>
      <w:hyperlink r:id="rId9">
        <w:r w:rsidRPr="0027721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http://www.microbes-edu.org/etudiant/pathogene.html</w:t>
        </w:r>
      </w:hyperlink>
      <w:r w:rsidRPr="0027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10" w:rsidRPr="00277210" w:rsidRDefault="00277210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76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210">
        <w:rPr>
          <w:rFonts w:ascii="Times New Roman" w:hAnsi="Times New Roman" w:cs="Times New Roman"/>
          <w:sz w:val="24"/>
          <w:szCs w:val="24"/>
        </w:rPr>
        <w:t>MémoBio</w:t>
      </w:r>
      <w:proofErr w:type="spellEnd"/>
      <w:r w:rsidRPr="00277210">
        <w:rPr>
          <w:rFonts w:ascii="Times New Roman" w:hAnsi="Times New Roman" w:cs="Times New Roman"/>
          <w:sz w:val="24"/>
          <w:szCs w:val="24"/>
        </w:rPr>
        <w:t xml:space="preserve">, “Antibiotiques : mécanismes d’action et de résistance” [En Ligne], le 09 novembre 2018. </w:t>
      </w:r>
      <w:hyperlink r:id="rId10">
        <w:r w:rsidRPr="0027721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http://www.memobio.fr/html/bact/ba_an_atbp.html</w:t>
        </w:r>
      </w:hyperlink>
      <w:r w:rsidRPr="0027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10" w:rsidRPr="00277210" w:rsidRDefault="00277210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76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10">
        <w:rPr>
          <w:rFonts w:ascii="Times New Roman" w:hAnsi="Times New Roman" w:cs="Times New Roman"/>
          <w:sz w:val="24"/>
          <w:szCs w:val="24"/>
        </w:rPr>
        <w:t>Cours IFSI Montluçon (03)</w:t>
      </w:r>
    </w:p>
    <w:p w:rsidR="00277210" w:rsidRPr="00277210" w:rsidRDefault="00277210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76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10">
        <w:rPr>
          <w:rFonts w:ascii="Times New Roman" w:hAnsi="Times New Roman" w:cs="Times New Roman"/>
          <w:sz w:val="24"/>
          <w:szCs w:val="24"/>
        </w:rPr>
        <w:t>Cours IFSI CHU de Nice (06)</w:t>
      </w:r>
    </w:p>
    <w:p w:rsidR="00277210" w:rsidRPr="00277210" w:rsidRDefault="00277210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76" w:rsidRPr="00277210" w:rsidRDefault="00BB3A66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210">
        <w:rPr>
          <w:rFonts w:ascii="Times New Roman" w:hAnsi="Times New Roman" w:cs="Times New Roman"/>
          <w:sz w:val="24"/>
          <w:szCs w:val="24"/>
        </w:rPr>
        <w:t>Cours IFSI CH Valenciennes (59)</w:t>
      </w:r>
    </w:p>
    <w:sectPr w:rsidR="00035976" w:rsidRPr="00277210">
      <w:headerReference w:type="default" r:id="rId11"/>
      <w:footerReference w:type="even" r:id="rId12"/>
      <w:footerReference w:type="default" r:id="rId13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66" w:rsidRDefault="00BB3A66">
      <w:pPr>
        <w:spacing w:line="240" w:lineRule="auto"/>
      </w:pPr>
      <w:r>
        <w:separator/>
      </w:r>
    </w:p>
  </w:endnote>
  <w:endnote w:type="continuationSeparator" w:id="0">
    <w:p w:rsidR="00BB3A66" w:rsidRDefault="00BB3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92182358"/>
      <w:docPartObj>
        <w:docPartGallery w:val="Page Numbers (Bottom of Page)"/>
        <w:docPartUnique/>
      </w:docPartObj>
    </w:sdtPr>
    <w:sdtContent>
      <w:p w:rsidR="00277210" w:rsidRDefault="00277210" w:rsidP="00DA37F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77210" w:rsidRDefault="00277210" w:rsidP="002772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07995431"/>
      <w:docPartObj>
        <w:docPartGallery w:val="Page Numbers (Bottom of Page)"/>
        <w:docPartUnique/>
      </w:docPartObj>
    </w:sdtPr>
    <w:sdtContent>
      <w:p w:rsidR="00277210" w:rsidRDefault="00277210" w:rsidP="00DA37F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:rsidR="00035976" w:rsidRDefault="00BB3A66">
    <w:pPr>
      <w:tabs>
        <w:tab w:val="center" w:pos="4536"/>
        <w:tab w:val="right" w:pos="9072"/>
      </w:tabs>
      <w:spacing w:line="240" w:lineRule="auto"/>
      <w:ind w:right="360"/>
      <w:contextualSpacing w:val="0"/>
    </w:pPr>
    <w:r>
      <w:rPr>
        <w:rFonts w:ascii="Cambria" w:eastAsia="Cambria" w:hAnsi="Cambria" w:cs="Cambria"/>
        <w:b/>
        <w:sz w:val="24"/>
        <w:szCs w:val="24"/>
      </w:rPr>
      <w:t xml:space="preserve">©Entraide ESI IDE                             </w:t>
    </w:r>
    <w:r>
      <w:rPr>
        <w:rFonts w:ascii="Cambria" w:eastAsia="Cambria" w:hAnsi="Cambria" w:cs="Cambria"/>
        <w:sz w:val="24"/>
        <w:szCs w:val="24"/>
      </w:rPr>
      <w:t>UE 2.11 LES ANTIBIOTIQUES : LES FAMILLES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66" w:rsidRDefault="00BB3A66">
      <w:pPr>
        <w:spacing w:line="240" w:lineRule="auto"/>
      </w:pPr>
      <w:r>
        <w:separator/>
      </w:r>
    </w:p>
  </w:footnote>
  <w:footnote w:type="continuationSeparator" w:id="0">
    <w:p w:rsidR="00BB3A66" w:rsidRDefault="00BB3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6" w:rsidRDefault="00035976">
    <w:pPr>
      <w:widowControl w:val="0"/>
      <w:contextualSpacing w:val="0"/>
      <w:rPr>
        <w:rFonts w:ascii="Times New Roman" w:eastAsia="Times New Roman" w:hAnsi="Times New Roman" w:cs="Times New Roman"/>
        <w:color w:val="343434"/>
        <w:sz w:val="24"/>
        <w:szCs w:val="24"/>
      </w:rPr>
    </w:pPr>
  </w:p>
  <w:tbl>
    <w:tblPr>
      <w:tblStyle w:val="a0"/>
      <w:tblW w:w="14085" w:type="dxa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2640"/>
      <w:gridCol w:w="3645"/>
      <w:gridCol w:w="7800"/>
    </w:tblGrid>
    <w:tr w:rsidR="00035976">
      <w:tc>
        <w:tcPr>
          <w:tcW w:w="2640" w:type="dxa"/>
          <w:vMerge w:val="restart"/>
          <w:vAlign w:val="center"/>
        </w:tcPr>
        <w:p w:rsidR="00035976" w:rsidRDefault="00035976">
          <w:pPr>
            <w:tabs>
              <w:tab w:val="center" w:pos="4536"/>
              <w:tab w:val="right" w:pos="9072"/>
            </w:tabs>
            <w:spacing w:line="240" w:lineRule="auto"/>
            <w:contextualSpacing w:val="0"/>
            <w:jc w:val="center"/>
            <w:rPr>
              <w:rFonts w:ascii="Cambria" w:eastAsia="Cambria" w:hAnsi="Cambria" w:cs="Cambria"/>
              <w:sz w:val="24"/>
              <w:szCs w:val="24"/>
            </w:rPr>
          </w:pPr>
        </w:p>
        <w:p w:rsidR="00035976" w:rsidRDefault="00BB3A66">
          <w:pPr>
            <w:spacing w:line="240" w:lineRule="auto"/>
            <w:contextualSpacing w:val="0"/>
            <w:jc w:val="center"/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noProof/>
              <w:sz w:val="24"/>
              <w:szCs w:val="24"/>
            </w:rPr>
            <w:drawing>
              <wp:inline distT="0" distB="0" distL="0" distR="0">
                <wp:extent cx="1539750" cy="55829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750" cy="558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5" w:type="dxa"/>
          <w:vAlign w:val="center"/>
        </w:tcPr>
        <w:p w:rsidR="00035976" w:rsidRDefault="00BB3A66">
          <w:pPr>
            <w:spacing w:line="240" w:lineRule="auto"/>
            <w:contextualSpacing w:val="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NOVEMBRE 2018</w:t>
          </w:r>
        </w:p>
      </w:tc>
      <w:tc>
        <w:tcPr>
          <w:tcW w:w="7800" w:type="dxa"/>
          <w:vAlign w:val="center"/>
        </w:tcPr>
        <w:p w:rsidR="00035976" w:rsidRDefault="00BB3A66">
          <w:pPr>
            <w:spacing w:line="240" w:lineRule="auto"/>
            <w:contextualSpacing w:val="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UE 2.11</w:t>
          </w:r>
        </w:p>
      </w:tc>
    </w:tr>
    <w:tr w:rsidR="00035976">
      <w:tc>
        <w:tcPr>
          <w:tcW w:w="2640" w:type="dxa"/>
          <w:vMerge/>
          <w:vAlign w:val="center"/>
        </w:tcPr>
        <w:p w:rsidR="00035976" w:rsidRDefault="00035976">
          <w:pPr>
            <w:spacing w:line="240" w:lineRule="auto"/>
            <w:contextualSpacing w:val="0"/>
            <w:jc w:val="center"/>
            <w:rPr>
              <w:rFonts w:ascii="Cambria" w:eastAsia="Cambria" w:hAnsi="Cambria" w:cs="Cambria"/>
              <w:sz w:val="24"/>
              <w:szCs w:val="24"/>
            </w:rPr>
          </w:pPr>
        </w:p>
      </w:tc>
      <w:tc>
        <w:tcPr>
          <w:tcW w:w="11445" w:type="dxa"/>
          <w:gridSpan w:val="2"/>
          <w:vAlign w:val="center"/>
        </w:tcPr>
        <w:p w:rsidR="00035976" w:rsidRDefault="00BB3A66">
          <w:pPr>
            <w:spacing w:line="240" w:lineRule="auto"/>
            <w:contextualSpacing w:val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LES ANTIBIOTIQUES : LES FAMILLES</w:t>
          </w:r>
        </w:p>
      </w:tc>
    </w:tr>
  </w:tbl>
  <w:p w:rsidR="00035976" w:rsidRDefault="00035976">
    <w:pPr>
      <w:tabs>
        <w:tab w:val="center" w:pos="4536"/>
        <w:tab w:val="right" w:pos="9072"/>
      </w:tabs>
      <w:spacing w:line="240" w:lineRule="auto"/>
      <w:contextualSpacing w:val="0"/>
      <w:rPr>
        <w:rFonts w:ascii="Cambria" w:eastAsia="Cambria" w:hAnsi="Cambria" w:cs="Cambria"/>
        <w:sz w:val="24"/>
        <w:szCs w:val="24"/>
      </w:rPr>
    </w:pPr>
  </w:p>
  <w:p w:rsidR="00035976" w:rsidRDefault="00035976">
    <w:pPr>
      <w:contextualSpacing w:val="0"/>
      <w:jc w:val="center"/>
      <w:rPr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976"/>
    <w:rsid w:val="00035976"/>
    <w:rsid w:val="00277210"/>
    <w:rsid w:val="00386FF2"/>
    <w:rsid w:val="008E17EC"/>
    <w:rsid w:val="00B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04A8A"/>
  <w15:docId w15:val="{408B49E1-8312-AF4B-A3D2-5FF3B910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772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210"/>
  </w:style>
  <w:style w:type="character" w:styleId="Numrodepage">
    <w:name w:val="page number"/>
    <w:basedOn w:val="Policepardfaut"/>
    <w:uiPriority w:val="99"/>
    <w:semiHidden/>
    <w:unhideWhenUsed/>
    <w:rsid w:val="0027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s.fr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urekasante.vidal.fr/medicaments/antibiotiques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lin-arlin.fr/nosopdf/doc04/0013685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emobio.fr/html/bact/ba_an_atbp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crobes-edu.org/etudiant/pathogen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CATINAUD</cp:lastModifiedBy>
  <cp:revision>3</cp:revision>
  <dcterms:created xsi:type="dcterms:W3CDTF">2018-11-14T21:06:00Z</dcterms:created>
  <dcterms:modified xsi:type="dcterms:W3CDTF">2018-11-14T21:07:00Z</dcterms:modified>
</cp:coreProperties>
</file>